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FA42" w14:textId="77777777" w:rsidR="00C9770C" w:rsidRPr="006E700F" w:rsidRDefault="00183E5B" w:rsidP="00C9770C">
      <w:pPr>
        <w:pStyle w:val="Ttulo1"/>
        <w:numPr>
          <w:ilvl w:val="0"/>
          <w:numId w:val="0"/>
        </w:numPr>
        <w:rPr>
          <w:sz w:val="28"/>
          <w:szCs w:val="28"/>
        </w:rPr>
      </w:pPr>
      <w:bookmarkStart w:id="0" w:name="_Toc278731622"/>
      <w:r>
        <w:rPr>
          <w:sz w:val="28"/>
        </w:rPr>
        <w:t>APPENDIX C</w:t>
      </w:r>
      <w:r w:rsidR="00E97CCF">
        <w:rPr>
          <w:sz w:val="28"/>
        </w:rPr>
        <w:t>. STATEMENT ON CONCURRENT AIDS, SEPARATE ACCOUNTING AND COMPLIANCE WITH REQUIREMENTS</w:t>
      </w:r>
      <w:bookmarkEnd w:id="0"/>
    </w:p>
    <w:p w14:paraId="5F989582" w14:textId="77777777" w:rsidR="00BF34EE" w:rsidRDefault="00BF34EE" w:rsidP="00C9770C">
      <w:pPr>
        <w:pStyle w:val="Default"/>
        <w:spacing w:before="120" w:after="100"/>
        <w:jc w:val="both"/>
        <w:rPr>
          <w:rFonts w:ascii="Verdana" w:hAnsi="Verdana"/>
          <w:bCs/>
          <w:color w:val="auto"/>
          <w:sz w:val="18"/>
          <w:szCs w:val="18"/>
        </w:rPr>
      </w:pPr>
    </w:p>
    <w:p w14:paraId="7BAC8CC4" w14:textId="77777777" w:rsidR="00C9770C" w:rsidRPr="0015407C" w:rsidRDefault="00C9770C" w:rsidP="00C9770C">
      <w:pPr>
        <w:pStyle w:val="Default"/>
        <w:spacing w:before="120" w:after="100"/>
        <w:jc w:val="both"/>
        <w:rPr>
          <w:rFonts w:ascii="Verdana" w:hAnsi="Verdana"/>
          <w:bCs/>
          <w:color w:val="auto"/>
          <w:sz w:val="18"/>
          <w:szCs w:val="18"/>
        </w:rPr>
      </w:pPr>
      <w:r>
        <w:rPr>
          <w:rFonts w:ascii="Verdana" w:hAnsi="Verdana"/>
          <w:color w:val="auto"/>
          <w:sz w:val="18"/>
        </w:rPr>
        <w:t>The undersigned, in representation of the applicant company:</w:t>
      </w:r>
    </w:p>
    <w:p w14:paraId="25A134AA" w14:textId="77777777" w:rsidR="00C9770C" w:rsidRPr="0015407C" w:rsidRDefault="00C9770C" w:rsidP="00C9770C">
      <w:pPr>
        <w:pStyle w:val="Default"/>
        <w:spacing w:before="120" w:after="100"/>
        <w:jc w:val="both"/>
        <w:rPr>
          <w:rFonts w:ascii="Verdana" w:hAnsi="Verdana"/>
          <w:bCs/>
          <w:color w:val="auto"/>
          <w:sz w:val="18"/>
          <w:szCs w:val="18"/>
        </w:rPr>
      </w:pPr>
    </w:p>
    <w:p w14:paraId="346E222B" w14:textId="77777777" w:rsidR="00C9770C" w:rsidRDefault="00C9770C" w:rsidP="00C9770C">
      <w:pPr>
        <w:pStyle w:val="Default"/>
        <w:spacing w:before="120" w:after="100"/>
        <w:jc w:val="center"/>
        <w:rPr>
          <w:rFonts w:ascii="Verdana" w:hAnsi="Verdana"/>
          <w:bCs/>
          <w:color w:val="auto"/>
          <w:sz w:val="18"/>
          <w:szCs w:val="18"/>
        </w:rPr>
      </w:pPr>
      <w:r>
        <w:rPr>
          <w:rFonts w:ascii="Verdana" w:hAnsi="Verdana"/>
          <w:color w:val="auto"/>
          <w:sz w:val="18"/>
        </w:rPr>
        <w:t>STATES</w:t>
      </w:r>
    </w:p>
    <w:p w14:paraId="00219F3F" w14:textId="77777777" w:rsidR="007C483C" w:rsidRPr="0015407C" w:rsidRDefault="007C483C" w:rsidP="00C9770C">
      <w:pPr>
        <w:pStyle w:val="Default"/>
        <w:spacing w:before="120" w:after="100"/>
        <w:jc w:val="center"/>
        <w:rPr>
          <w:rFonts w:ascii="Verdana" w:hAnsi="Verdana"/>
          <w:bCs/>
          <w:color w:val="auto"/>
          <w:sz w:val="18"/>
          <w:szCs w:val="18"/>
        </w:rPr>
      </w:pPr>
    </w:p>
    <w:p w14:paraId="24E6DC46" w14:textId="77777777" w:rsidR="00A54144" w:rsidRPr="00CF1305" w:rsidRDefault="00A54144"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color w:val="auto"/>
          <w:sz w:val="18"/>
        </w:rPr>
        <w:t xml:space="preserve">That no other aid or subsidies from any government or public body, either domestic or international, has been obtained for the project subject to this application and that, if any have been requested, they undertake to notify ICEX ESPAÑA EXPORTACIÓN E INVERSIONES in writing. That any changes to the public funding requested or received shall be notified within a maximum period of 15 days from the date of reception. </w:t>
      </w:r>
    </w:p>
    <w:p w14:paraId="479D3F99" w14:textId="77777777" w:rsidR="005806A0" w:rsidRPr="005806A0" w:rsidRDefault="00BF34EE" w:rsidP="005806A0">
      <w:pPr>
        <w:pStyle w:val="Default"/>
        <w:numPr>
          <w:ilvl w:val="0"/>
          <w:numId w:val="16"/>
        </w:numPr>
        <w:tabs>
          <w:tab w:val="clear" w:pos="720"/>
          <w:tab w:val="num" w:pos="360"/>
        </w:tabs>
        <w:spacing w:before="120" w:after="100"/>
        <w:ind w:left="357"/>
        <w:jc w:val="both"/>
        <w:rPr>
          <w:rFonts w:ascii="Verdana" w:hAnsi="Verdana"/>
          <w:bCs/>
          <w:color w:val="auto"/>
          <w:sz w:val="18"/>
          <w:szCs w:val="18"/>
        </w:rPr>
      </w:pPr>
      <w:r>
        <w:rPr>
          <w:rFonts w:ascii="Verdana" w:hAnsi="Verdana"/>
          <w:color w:val="auto"/>
          <w:sz w:val="18"/>
        </w:rPr>
        <w:t>That all the eligibility requirements set forth in the call for applications are met.</w:t>
      </w:r>
      <w:r w:rsidR="005806A0" w:rsidRPr="005806A0">
        <w:rPr>
          <w:rFonts w:ascii="Verdana" w:hAnsi="Verdana"/>
          <w:color w:val="auto"/>
          <w:sz w:val="18"/>
        </w:rPr>
        <w:t xml:space="preserve"> </w:t>
      </w:r>
    </w:p>
    <w:p w14:paraId="769DB475" w14:textId="472A821E" w:rsidR="005806A0" w:rsidRDefault="005806A0" w:rsidP="005806A0">
      <w:pPr>
        <w:pStyle w:val="Default"/>
        <w:numPr>
          <w:ilvl w:val="0"/>
          <w:numId w:val="16"/>
        </w:numPr>
        <w:tabs>
          <w:tab w:val="clear" w:pos="720"/>
          <w:tab w:val="num" w:pos="360"/>
        </w:tabs>
        <w:spacing w:before="120" w:after="100"/>
        <w:ind w:left="357"/>
        <w:jc w:val="both"/>
        <w:rPr>
          <w:rFonts w:ascii="Verdana" w:hAnsi="Verdana"/>
          <w:bCs/>
          <w:color w:val="auto"/>
          <w:sz w:val="18"/>
          <w:szCs w:val="18"/>
        </w:rPr>
      </w:pPr>
      <w:r>
        <w:rPr>
          <w:rFonts w:ascii="Verdana" w:hAnsi="Verdana"/>
          <w:color w:val="auto"/>
          <w:sz w:val="18"/>
        </w:rPr>
        <w:t xml:space="preserve">That in accordance with </w:t>
      </w:r>
      <w:r w:rsidR="00A67FD7">
        <w:rPr>
          <w:rFonts w:ascii="Verdana" w:hAnsi="Verdana"/>
          <w:color w:val="auto"/>
          <w:sz w:val="18"/>
        </w:rPr>
        <w:t xml:space="preserve">call, the activity has not started before the application has been submitted. </w:t>
      </w:r>
      <w:r>
        <w:rPr>
          <w:rFonts w:ascii="Verdana" w:hAnsi="Verdana"/>
          <w:color w:val="auto"/>
          <w:sz w:val="18"/>
        </w:rPr>
        <w:t xml:space="preserve"> </w:t>
      </w:r>
    </w:p>
    <w:p w14:paraId="1B20F194" w14:textId="77777777" w:rsidR="005806A0" w:rsidRPr="005806A0" w:rsidRDefault="005806A0" w:rsidP="005806A0">
      <w:pPr>
        <w:pStyle w:val="Default"/>
        <w:numPr>
          <w:ilvl w:val="0"/>
          <w:numId w:val="16"/>
        </w:numPr>
        <w:tabs>
          <w:tab w:val="clear" w:pos="720"/>
          <w:tab w:val="num" w:pos="360"/>
        </w:tabs>
        <w:spacing w:before="120" w:after="100"/>
        <w:ind w:left="357"/>
        <w:jc w:val="both"/>
        <w:rPr>
          <w:rFonts w:ascii="Verdana" w:hAnsi="Verdana"/>
          <w:bCs/>
          <w:color w:val="auto"/>
          <w:sz w:val="18"/>
          <w:szCs w:val="18"/>
        </w:rPr>
      </w:pPr>
      <w:r w:rsidRPr="005806A0">
        <w:rPr>
          <w:rFonts w:ascii="Verdana" w:hAnsi="Verdana"/>
          <w:bCs/>
          <w:color w:val="auto"/>
          <w:sz w:val="18"/>
          <w:szCs w:val="18"/>
        </w:rPr>
        <w:t xml:space="preserve">ICEX, registered at Paseo de la </w:t>
      </w:r>
      <w:proofErr w:type="spellStart"/>
      <w:r w:rsidRPr="005806A0">
        <w:rPr>
          <w:rFonts w:ascii="Verdana" w:hAnsi="Verdana"/>
          <w:bCs/>
          <w:color w:val="auto"/>
          <w:sz w:val="18"/>
          <w:szCs w:val="18"/>
        </w:rPr>
        <w:t>Castellana</w:t>
      </w:r>
      <w:proofErr w:type="spellEnd"/>
      <w:r w:rsidRPr="005806A0">
        <w:rPr>
          <w:rFonts w:ascii="Verdana" w:hAnsi="Verdana"/>
          <w:bCs/>
          <w:color w:val="auto"/>
          <w:sz w:val="18"/>
          <w:szCs w:val="18"/>
        </w:rPr>
        <w:t xml:space="preserve"> 278,  28046 in Madrid, informs you that the personal data provided shall be included in a file under its ownership with the objective of managing the applicati</w:t>
      </w:r>
      <w:r>
        <w:rPr>
          <w:rFonts w:ascii="Verdana" w:hAnsi="Verdana"/>
          <w:bCs/>
          <w:color w:val="auto"/>
          <w:sz w:val="18"/>
          <w:szCs w:val="18"/>
        </w:rPr>
        <w:t>on for aids to the Investment R&amp;D foreign companies</w:t>
      </w:r>
      <w:r w:rsidRPr="005806A0">
        <w:rPr>
          <w:rFonts w:ascii="Verdana" w:hAnsi="Verdana"/>
          <w:bCs/>
          <w:color w:val="auto"/>
          <w:sz w:val="18"/>
          <w:szCs w:val="18"/>
        </w:rPr>
        <w:t xml:space="preserve"> Program Likewise, ICEX informs you that you may exercise your rights to access, rectification, cancellation and objection by sending a written notice to the address indicated above.</w:t>
      </w:r>
    </w:p>
    <w:p w14:paraId="59E08505" w14:textId="77777777" w:rsidR="00C9770C" w:rsidRPr="0015407C" w:rsidRDefault="00C9770C" w:rsidP="00C9770C">
      <w:pPr>
        <w:pStyle w:val="Default"/>
        <w:jc w:val="both"/>
        <w:rPr>
          <w:rFonts w:ascii="Times New Roman" w:hAnsi="Times New Roman" w:cs="Times New Roman"/>
          <w:color w:val="auto"/>
          <w:sz w:val="18"/>
          <w:szCs w:val="18"/>
        </w:rPr>
      </w:pPr>
    </w:p>
    <w:p w14:paraId="155BEAE2"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780"/>
      </w:tblGrid>
      <w:tr w:rsidR="00C9770C" w:rsidRPr="009D2A75" w14:paraId="62A9017E" w14:textId="77777777">
        <w:tc>
          <w:tcPr>
            <w:tcW w:w="2448" w:type="dxa"/>
          </w:tcPr>
          <w:p w14:paraId="024EA052"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Place and date</w:t>
            </w:r>
          </w:p>
        </w:tc>
        <w:tc>
          <w:tcPr>
            <w:tcW w:w="6480" w:type="dxa"/>
            <w:gridSpan w:val="2"/>
          </w:tcPr>
          <w:p w14:paraId="1D691074"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Applicant details</w:t>
            </w:r>
          </w:p>
        </w:tc>
      </w:tr>
      <w:tr w:rsidR="00C9770C" w:rsidRPr="009D2A75" w14:paraId="71A18880" w14:textId="77777777">
        <w:tc>
          <w:tcPr>
            <w:tcW w:w="2448" w:type="dxa"/>
          </w:tcPr>
          <w:p w14:paraId="08AB16F8" w14:textId="77777777" w:rsidR="00C9770C" w:rsidRPr="009D2A75" w:rsidRDefault="00C9770C" w:rsidP="009D2A75">
            <w:pPr>
              <w:pStyle w:val="Default"/>
              <w:jc w:val="both"/>
              <w:rPr>
                <w:rFonts w:ascii="Verdana" w:hAnsi="Verdana" w:cs="Arial-BoldMT"/>
                <w:sz w:val="18"/>
                <w:szCs w:val="18"/>
              </w:rPr>
            </w:pPr>
          </w:p>
          <w:p w14:paraId="269CD38E" w14:textId="77777777" w:rsidR="00C9770C" w:rsidRPr="009D2A75" w:rsidRDefault="00C9770C" w:rsidP="009D2A75">
            <w:pPr>
              <w:pStyle w:val="Default"/>
              <w:jc w:val="both"/>
              <w:rPr>
                <w:rFonts w:ascii="Verdana" w:hAnsi="Verdana" w:cs="Arial-BoldMT"/>
                <w:sz w:val="18"/>
                <w:szCs w:val="18"/>
              </w:rPr>
            </w:pPr>
          </w:p>
          <w:p w14:paraId="696CAF8C" w14:textId="77777777" w:rsidR="00C9770C" w:rsidRPr="009D2A75" w:rsidRDefault="00C9770C" w:rsidP="009D2A75">
            <w:pPr>
              <w:pStyle w:val="Default"/>
              <w:jc w:val="both"/>
              <w:rPr>
                <w:rFonts w:ascii="Verdana" w:hAnsi="Verdana" w:cs="Arial-BoldMT"/>
                <w:sz w:val="18"/>
                <w:szCs w:val="18"/>
              </w:rPr>
            </w:pPr>
          </w:p>
          <w:p w14:paraId="09977A36" w14:textId="77777777" w:rsidR="00C9770C" w:rsidRPr="009D2A75" w:rsidRDefault="00C9770C" w:rsidP="009D2A75">
            <w:pPr>
              <w:pStyle w:val="Default"/>
              <w:jc w:val="both"/>
              <w:rPr>
                <w:rFonts w:ascii="Verdana" w:hAnsi="Verdana" w:cs="Arial-BoldMT"/>
                <w:sz w:val="18"/>
                <w:szCs w:val="18"/>
              </w:rPr>
            </w:pPr>
          </w:p>
          <w:p w14:paraId="13380FC2" w14:textId="77777777" w:rsidR="00C9770C" w:rsidRPr="009D2A75" w:rsidRDefault="00C9770C" w:rsidP="009D2A75">
            <w:pPr>
              <w:pStyle w:val="Default"/>
              <w:jc w:val="both"/>
              <w:rPr>
                <w:rFonts w:ascii="Verdana" w:hAnsi="Verdana" w:cs="Arial-BoldMT"/>
                <w:sz w:val="18"/>
                <w:szCs w:val="18"/>
              </w:rPr>
            </w:pPr>
          </w:p>
        </w:tc>
        <w:tc>
          <w:tcPr>
            <w:tcW w:w="2700" w:type="dxa"/>
          </w:tcPr>
          <w:p w14:paraId="68C14A69"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1</w:t>
            </w:r>
            <w:r>
              <w:rPr>
                <w:rFonts w:ascii="Verdana" w:hAnsi="Verdana"/>
                <w:sz w:val="18"/>
                <w:vertAlign w:val="superscript"/>
              </w:rPr>
              <w:t>st</w:t>
            </w:r>
            <w:r>
              <w:rPr>
                <w:rFonts w:ascii="Verdana" w:hAnsi="Verdana"/>
                <w:sz w:val="18"/>
              </w:rPr>
              <w:t xml:space="preserve"> Representative </w:t>
            </w:r>
          </w:p>
        </w:tc>
        <w:tc>
          <w:tcPr>
            <w:tcW w:w="3780" w:type="dxa"/>
          </w:tcPr>
          <w:p w14:paraId="5A507C2E"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2</w:t>
            </w:r>
            <w:r>
              <w:rPr>
                <w:rFonts w:ascii="Verdana" w:hAnsi="Verdana"/>
                <w:sz w:val="18"/>
                <w:vertAlign w:val="superscript"/>
              </w:rPr>
              <w:t>nd</w:t>
            </w:r>
            <w:r w:rsidR="002507BE">
              <w:rPr>
                <w:rFonts w:ascii="Verdana" w:hAnsi="Verdana"/>
                <w:sz w:val="18"/>
              </w:rPr>
              <w:t xml:space="preserve"> Representative </w:t>
            </w:r>
          </w:p>
          <w:p w14:paraId="5CB8C8FA"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(in cases of joint representation)</w:t>
            </w:r>
          </w:p>
          <w:p w14:paraId="3802F79C" w14:textId="77777777" w:rsidR="00C9770C" w:rsidRDefault="00C9770C" w:rsidP="009D2A75">
            <w:pPr>
              <w:pStyle w:val="Default"/>
              <w:jc w:val="both"/>
              <w:rPr>
                <w:rFonts w:ascii="Verdana" w:hAnsi="Verdana" w:cs="Arial-BoldMT"/>
                <w:sz w:val="18"/>
                <w:szCs w:val="18"/>
              </w:rPr>
            </w:pPr>
          </w:p>
          <w:p w14:paraId="64E1FEE0" w14:textId="77777777" w:rsidR="007C483C" w:rsidRDefault="007C483C" w:rsidP="009D2A75">
            <w:pPr>
              <w:pStyle w:val="Default"/>
              <w:jc w:val="both"/>
              <w:rPr>
                <w:rFonts w:ascii="Verdana" w:hAnsi="Verdana" w:cs="Arial-BoldMT"/>
                <w:sz w:val="18"/>
                <w:szCs w:val="18"/>
              </w:rPr>
            </w:pPr>
          </w:p>
          <w:p w14:paraId="4CFBC418" w14:textId="77777777" w:rsidR="007C483C" w:rsidRPr="009D2A75" w:rsidRDefault="007C483C" w:rsidP="009D2A75">
            <w:pPr>
              <w:pStyle w:val="Default"/>
              <w:jc w:val="both"/>
              <w:rPr>
                <w:rFonts w:ascii="Verdana" w:hAnsi="Verdana" w:cs="Arial-BoldMT"/>
                <w:sz w:val="18"/>
                <w:szCs w:val="18"/>
              </w:rPr>
            </w:pPr>
          </w:p>
          <w:p w14:paraId="719EBC0F" w14:textId="77777777" w:rsidR="00C9770C" w:rsidRPr="009D2A75" w:rsidRDefault="00C9770C" w:rsidP="009D2A75">
            <w:pPr>
              <w:pStyle w:val="Default"/>
              <w:jc w:val="center"/>
              <w:rPr>
                <w:rFonts w:ascii="Verdana" w:hAnsi="Verdana" w:cs="Arial-BoldMT"/>
                <w:sz w:val="18"/>
                <w:szCs w:val="18"/>
              </w:rPr>
            </w:pPr>
          </w:p>
        </w:tc>
      </w:tr>
    </w:tbl>
    <w:p w14:paraId="5CFE9CD8"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2ED3FE89" w14:textId="77777777" w:rsidR="00C9770C" w:rsidRPr="0015407C" w:rsidRDefault="00C9770C" w:rsidP="00C9770C">
      <w:pPr>
        <w:spacing w:line="360" w:lineRule="auto"/>
        <w:rPr>
          <w:rFonts w:ascii="Verdana" w:hAnsi="Verdana" w:cs="Arial"/>
          <w:b w:val="0"/>
          <w:sz w:val="18"/>
          <w:szCs w:val="18"/>
        </w:rPr>
      </w:pPr>
    </w:p>
    <w:p w14:paraId="15D88F1C" w14:textId="77777777" w:rsidR="00C9770C" w:rsidRPr="0015407C" w:rsidRDefault="00C9770C" w:rsidP="00C9770C">
      <w:pPr>
        <w:spacing w:line="360" w:lineRule="auto"/>
        <w:rPr>
          <w:rFonts w:ascii="Verdana" w:hAnsi="Verdana" w:cs="Arial"/>
          <w:b w:val="0"/>
          <w:sz w:val="18"/>
          <w:szCs w:val="18"/>
        </w:rPr>
      </w:pPr>
    </w:p>
    <w:sectPr w:rsidR="00C9770C" w:rsidRPr="0015407C" w:rsidSect="008A6AA4">
      <w:headerReference w:type="default" r:id="rId8"/>
      <w:footerReference w:type="even" r:id="rId9"/>
      <w:footerReference w:type="default" r:id="rId10"/>
      <w:type w:val="continuous"/>
      <w:pgSz w:w="11907" w:h="16839" w:code="9"/>
      <w:pgMar w:top="1701" w:right="1544"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3A05" w14:textId="77777777" w:rsidR="00DF563D" w:rsidRDefault="00DF563D">
      <w:r>
        <w:separator/>
      </w:r>
    </w:p>
  </w:endnote>
  <w:endnote w:type="continuationSeparator" w:id="0">
    <w:p w14:paraId="69692F59" w14:textId="77777777" w:rsidR="00DF563D" w:rsidRDefault="00D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436C"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4CDD373D"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9461" w14:textId="77777777" w:rsidR="007463A1" w:rsidRDefault="007463A1" w:rsidP="00381868">
    <w:pPr>
      <w:pStyle w:val="Piedepgina"/>
      <w:framePr w:wrap="around" w:vAnchor="text" w:hAnchor="margin" w:xAlign="center" w:y="1"/>
      <w:rPr>
        <w:rStyle w:val="Nmerodepgina"/>
      </w:rPr>
    </w:pPr>
  </w:p>
  <w:p w14:paraId="57C13576" w14:textId="77777777" w:rsidR="0065241E" w:rsidRDefault="0065241E" w:rsidP="0065241E">
    <w:pPr>
      <w:pStyle w:val="Piedepgina"/>
      <w:rPr>
        <w:b w:val="0"/>
        <w:sz w:val="16"/>
        <w:szCs w:val="16"/>
      </w:rPr>
    </w:pPr>
    <w:r>
      <w:rPr>
        <w:b w:val="0"/>
        <w:noProof/>
        <w:sz w:val="16"/>
        <w:szCs w:val="16"/>
        <w:lang w:bidi="ar-SA"/>
      </w:rPr>
      <mc:AlternateContent>
        <mc:Choice Requires="wps">
          <w:drawing>
            <wp:anchor distT="0" distB="0" distL="114300" distR="114300" simplePos="0" relativeHeight="251659264" behindDoc="0" locked="0" layoutInCell="1" allowOverlap="1" wp14:anchorId="19570F39" wp14:editId="3BEFB228">
              <wp:simplePos x="0" y="0"/>
              <wp:positionH relativeFrom="column">
                <wp:posOffset>17145</wp:posOffset>
              </wp:positionH>
              <wp:positionV relativeFrom="paragraph">
                <wp:posOffset>26035</wp:posOffset>
              </wp:positionV>
              <wp:extent cx="5995035" cy="15875"/>
              <wp:effectExtent l="11430" t="10795" r="1333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F0CF7" id="_x0000_t32" coordsize="21600,21600" o:spt="32" o:oned="t" path="m,l21600,21600e" filled="f">
              <v:path arrowok="t" fillok="f" o:connecttype="none"/>
              <o:lock v:ext="edit" shapetype="t"/>
            </v:shapetype>
            <v:shape id="Conector recto de flecha 2" o:spid="_x0000_s1026" type="#_x0000_t32" style="position:absolute;margin-left:1.35pt;margin-top:2.05pt;width:472.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"/>
          </w:pict>
        </mc:Fallback>
      </mc:AlternateContent>
    </w:r>
  </w:p>
  <w:p w14:paraId="2A2CE31C" w14:textId="77777777" w:rsidR="0065241E" w:rsidRPr="0065241E" w:rsidRDefault="0065241E" w:rsidP="0065241E">
    <w:pPr>
      <w:pStyle w:val="Piedepgina"/>
      <w:rPr>
        <w:b w:val="0"/>
        <w:i/>
        <w:sz w:val="16"/>
        <w:szCs w:val="16"/>
        <w:lang w:val="es-ES"/>
      </w:rPr>
    </w:pPr>
    <w:r w:rsidRPr="0065241E">
      <w:rPr>
        <w:b w:val="0"/>
        <w:i/>
        <w:sz w:val="16"/>
        <w:szCs w:val="16"/>
        <w:lang w:val="es-ES"/>
      </w:rPr>
      <w:t>Fondo Europeo de Desarrollo Regional</w:t>
    </w:r>
    <w:r w:rsidRPr="0065241E">
      <w:rPr>
        <w:b w:val="0"/>
        <w:i/>
        <w:sz w:val="16"/>
        <w:szCs w:val="16"/>
        <w:lang w:val="es-ES"/>
      </w:rPr>
      <w:tab/>
      <w:t xml:space="preserve">   </w:t>
    </w:r>
    <w:r w:rsidRPr="0065241E">
      <w:rPr>
        <w:b w:val="0"/>
        <w:i/>
        <w:sz w:val="16"/>
        <w:szCs w:val="16"/>
        <w:lang w:val="es-ES"/>
      </w:rPr>
      <w:tab/>
      <w:t>Una manera de hacer Europa</w:t>
    </w:r>
  </w:p>
  <w:p w14:paraId="17116A96" w14:textId="77777777" w:rsidR="0065241E" w:rsidRPr="0065241E" w:rsidRDefault="0065241E" w:rsidP="0065241E">
    <w:pPr>
      <w:pStyle w:val="Piedepgina"/>
      <w:rPr>
        <w:lang w:val="es-ES"/>
      </w:rPr>
    </w:pPr>
  </w:p>
  <w:p w14:paraId="1232C5ED" w14:textId="77777777" w:rsidR="007463A1" w:rsidRPr="0065241E" w:rsidRDefault="007463A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E7A2" w14:textId="77777777" w:rsidR="00DF563D" w:rsidRDefault="00DF563D">
      <w:r>
        <w:separator/>
      </w:r>
    </w:p>
  </w:footnote>
  <w:footnote w:type="continuationSeparator" w:id="0">
    <w:p w14:paraId="4573EF58" w14:textId="77777777" w:rsidR="00DF563D" w:rsidRDefault="00D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B364" w14:textId="77777777" w:rsidR="00E97CCF" w:rsidRDefault="00AB0740" w:rsidP="00E97CCF">
    <w:pPr>
      <w:pStyle w:val="Encabezado"/>
      <w:tabs>
        <w:tab w:val="clear" w:pos="4252"/>
        <w:tab w:val="clear" w:pos="8504"/>
        <w:tab w:val="left" w:pos="4590"/>
      </w:tabs>
    </w:pPr>
    <w:r>
      <w:rPr>
        <w:noProof/>
        <w:lang w:bidi="ar-SA"/>
      </w:rPr>
      <w:drawing>
        <wp:anchor distT="0" distB="0" distL="114300" distR="114300" simplePos="0" relativeHeight="251660288" behindDoc="0" locked="0" layoutInCell="1" allowOverlap="1" wp14:anchorId="3A6436DB" wp14:editId="31993F49">
          <wp:simplePos x="0" y="0"/>
          <wp:positionH relativeFrom="column">
            <wp:posOffset>2842260</wp:posOffset>
          </wp:positionH>
          <wp:positionV relativeFrom="paragraph">
            <wp:posOffset>169545</wp:posOffset>
          </wp:positionV>
          <wp:extent cx="2717800" cy="406400"/>
          <wp:effectExtent l="0" t="0" r="6350" b="0"/>
          <wp:wrapSquare wrapText="bothSides"/>
          <wp:docPr id="3" name="Imagen 3" descr="new_icex_gobierno_invest_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icex_gobierno_invest_ro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406400"/>
                  </a:xfrm>
                  <a:prstGeom prst="rect">
                    <a:avLst/>
                  </a:prstGeom>
                  <a:noFill/>
                </pic:spPr>
              </pic:pic>
            </a:graphicData>
          </a:graphic>
          <wp14:sizeRelH relativeFrom="page">
            <wp14:pctWidth>0</wp14:pctWidth>
          </wp14:sizeRelH>
          <wp14:sizeRelV relativeFrom="page">
            <wp14:pctHeight>0</wp14:pctHeight>
          </wp14:sizeRelV>
        </wp:anchor>
      </w:drawing>
    </w:r>
  </w:p>
  <w:p w14:paraId="7314E51C" w14:textId="77777777" w:rsidR="00DB641E" w:rsidRDefault="00AF6DB7" w:rsidP="00E97CCF">
    <w:pPr>
      <w:pStyle w:val="Encabezado"/>
      <w:tabs>
        <w:tab w:val="clear" w:pos="4252"/>
        <w:tab w:val="clear" w:pos="8504"/>
        <w:tab w:val="left" w:pos="4590"/>
      </w:tabs>
    </w:pPr>
    <w:r>
      <w:rPr>
        <w:noProof/>
        <w:lang w:bidi="ar-SA"/>
      </w:rPr>
      <w:drawing>
        <wp:inline distT="0" distB="0" distL="0" distR="0" wp14:anchorId="5F1D912F" wp14:editId="0C57A4B9">
          <wp:extent cx="48577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0" t="27779" r="37875" b="23889"/>
                  <a:stretch>
                    <a:fillRect/>
                  </a:stretch>
                </pic:blipFill>
                <pic:spPr bwMode="auto">
                  <a:xfrm>
                    <a:off x="0" y="0"/>
                    <a:ext cx="485775" cy="371475"/>
                  </a:xfrm>
                  <a:prstGeom prst="rect">
                    <a:avLst/>
                  </a:prstGeom>
                  <a:noFill/>
                  <a:ln>
                    <a:noFill/>
                  </a:ln>
                </pic:spPr>
              </pic:pic>
            </a:graphicData>
          </a:graphic>
        </wp:inline>
      </w:drawing>
    </w:r>
    <w:r>
      <w:t xml:space="preserve">                                         </w:t>
    </w:r>
    <w:r w:rsidR="00E97C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E"/>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83E5B"/>
    <w:rsid w:val="001A2010"/>
    <w:rsid w:val="001B5B0D"/>
    <w:rsid w:val="001E7F6B"/>
    <w:rsid w:val="001F38E6"/>
    <w:rsid w:val="00205578"/>
    <w:rsid w:val="00210364"/>
    <w:rsid w:val="0021503B"/>
    <w:rsid w:val="002378E9"/>
    <w:rsid w:val="0024499C"/>
    <w:rsid w:val="002507BE"/>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7C78"/>
    <w:rsid w:val="003E3CA1"/>
    <w:rsid w:val="00415D5A"/>
    <w:rsid w:val="00416E62"/>
    <w:rsid w:val="00433E7E"/>
    <w:rsid w:val="00450404"/>
    <w:rsid w:val="0046538C"/>
    <w:rsid w:val="00480D71"/>
    <w:rsid w:val="0049129B"/>
    <w:rsid w:val="00492193"/>
    <w:rsid w:val="004B79EA"/>
    <w:rsid w:val="004C6B1D"/>
    <w:rsid w:val="0051436D"/>
    <w:rsid w:val="00553789"/>
    <w:rsid w:val="005806A0"/>
    <w:rsid w:val="00585C15"/>
    <w:rsid w:val="0059530B"/>
    <w:rsid w:val="005E1984"/>
    <w:rsid w:val="005E3504"/>
    <w:rsid w:val="005F38D9"/>
    <w:rsid w:val="00604836"/>
    <w:rsid w:val="00611025"/>
    <w:rsid w:val="0061288F"/>
    <w:rsid w:val="00614821"/>
    <w:rsid w:val="00634119"/>
    <w:rsid w:val="00644B3D"/>
    <w:rsid w:val="00650E4B"/>
    <w:rsid w:val="0065241E"/>
    <w:rsid w:val="006A0DC5"/>
    <w:rsid w:val="006A5CC0"/>
    <w:rsid w:val="006A79EE"/>
    <w:rsid w:val="006D5BA9"/>
    <w:rsid w:val="006D7710"/>
    <w:rsid w:val="006E066C"/>
    <w:rsid w:val="006E2813"/>
    <w:rsid w:val="006E3862"/>
    <w:rsid w:val="006E700F"/>
    <w:rsid w:val="006F59C9"/>
    <w:rsid w:val="006F7B36"/>
    <w:rsid w:val="00700E47"/>
    <w:rsid w:val="00711861"/>
    <w:rsid w:val="00717DA9"/>
    <w:rsid w:val="007216E3"/>
    <w:rsid w:val="0072322A"/>
    <w:rsid w:val="0072403E"/>
    <w:rsid w:val="00737C2C"/>
    <w:rsid w:val="007463A1"/>
    <w:rsid w:val="00746F43"/>
    <w:rsid w:val="007516D0"/>
    <w:rsid w:val="0076748B"/>
    <w:rsid w:val="00780891"/>
    <w:rsid w:val="00780930"/>
    <w:rsid w:val="00781704"/>
    <w:rsid w:val="00781B19"/>
    <w:rsid w:val="00793AC5"/>
    <w:rsid w:val="007A2A26"/>
    <w:rsid w:val="007A5768"/>
    <w:rsid w:val="007A654C"/>
    <w:rsid w:val="007B1A2E"/>
    <w:rsid w:val="007B1A5A"/>
    <w:rsid w:val="007B374A"/>
    <w:rsid w:val="007C483C"/>
    <w:rsid w:val="007C6952"/>
    <w:rsid w:val="007F1C34"/>
    <w:rsid w:val="00801240"/>
    <w:rsid w:val="008053E7"/>
    <w:rsid w:val="00814564"/>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6709"/>
    <w:rsid w:val="00A32BF5"/>
    <w:rsid w:val="00A4697C"/>
    <w:rsid w:val="00A54144"/>
    <w:rsid w:val="00A660DF"/>
    <w:rsid w:val="00A67FD7"/>
    <w:rsid w:val="00A72942"/>
    <w:rsid w:val="00A801A1"/>
    <w:rsid w:val="00A867B8"/>
    <w:rsid w:val="00A87790"/>
    <w:rsid w:val="00A972F8"/>
    <w:rsid w:val="00AA1BBA"/>
    <w:rsid w:val="00AA3040"/>
    <w:rsid w:val="00AA78DD"/>
    <w:rsid w:val="00AB0740"/>
    <w:rsid w:val="00AC264C"/>
    <w:rsid w:val="00AC5CAD"/>
    <w:rsid w:val="00AC6324"/>
    <w:rsid w:val="00AD4962"/>
    <w:rsid w:val="00AE4DFC"/>
    <w:rsid w:val="00AF22EF"/>
    <w:rsid w:val="00AF6DB7"/>
    <w:rsid w:val="00AF7767"/>
    <w:rsid w:val="00AF7FC4"/>
    <w:rsid w:val="00B00866"/>
    <w:rsid w:val="00B15BFF"/>
    <w:rsid w:val="00B47F29"/>
    <w:rsid w:val="00B73875"/>
    <w:rsid w:val="00B74E6E"/>
    <w:rsid w:val="00B87F8E"/>
    <w:rsid w:val="00BC760F"/>
    <w:rsid w:val="00BD65D3"/>
    <w:rsid w:val="00BF02F8"/>
    <w:rsid w:val="00BF0EF6"/>
    <w:rsid w:val="00BF34EE"/>
    <w:rsid w:val="00BF5EC9"/>
    <w:rsid w:val="00C006AD"/>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1A85"/>
    <w:rsid w:val="00DC6991"/>
    <w:rsid w:val="00DD1ABC"/>
    <w:rsid w:val="00DE1615"/>
    <w:rsid w:val="00DF563D"/>
    <w:rsid w:val="00E01A76"/>
    <w:rsid w:val="00E177DD"/>
    <w:rsid w:val="00E37944"/>
    <w:rsid w:val="00E53C7E"/>
    <w:rsid w:val="00E758B7"/>
    <w:rsid w:val="00E82BD1"/>
    <w:rsid w:val="00E8784F"/>
    <w:rsid w:val="00E9137F"/>
    <w:rsid w:val="00E9480D"/>
    <w:rsid w:val="00E97CCF"/>
    <w:rsid w:val="00EC0E20"/>
    <w:rsid w:val="00EC7887"/>
    <w:rsid w:val="00EC790A"/>
    <w:rsid w:val="00F17143"/>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ABE5C"/>
  <w15:docId w15:val="{7D7885E5-14FE-47CB-A525-188E418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uiPriority w:val="99"/>
    <w:rsid w:val="0065241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703A-5D5C-4447-B286-261568E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1334</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justificación Convocatoria 2-2009</dc:title>
  <dc:subject>Invest in Spain</dc:subject>
  <dc:creator>Pedro García</dc:creator>
  <cp:lastModifiedBy>Sánchez Vázquez, Eduardo</cp:lastModifiedBy>
  <cp:revision>9</cp:revision>
  <cp:lastPrinted>2012-01-13T14:23:00Z</cp:lastPrinted>
  <dcterms:created xsi:type="dcterms:W3CDTF">2015-05-04T07:58:00Z</dcterms:created>
  <dcterms:modified xsi:type="dcterms:W3CDTF">2020-11-18T10:25:00Z</dcterms:modified>
  <cp:category>Programa de Ayudas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